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ascii="Times New Roman" w:hAnsi="Times New Roman" w:eastAsia="方正黑体简体"/>
          <w:sz w:val="32"/>
          <w:szCs w:val="32"/>
        </w:rPr>
        <w:t>药物分析</w:t>
      </w:r>
      <w:r>
        <w:rPr>
          <w:rFonts w:hint="eastAsia" w:ascii="黑体" w:hAnsi="黑体" w:eastAsia="黑体" w:cs="黑体"/>
          <w:sz w:val="32"/>
          <w:szCs w:val="32"/>
        </w:rPr>
        <w:t>》考试大纲</w:t>
      </w:r>
    </w:p>
    <w:p>
      <w:pPr>
        <w:spacing w:line="320" w:lineRule="exact"/>
        <w:ind w:firstLine="2940" w:firstLineChars="1400"/>
        <w:rPr>
          <w:rFonts w:ascii="Times New Roman" w:hAnsi="Times New Roman"/>
          <w:u w:val="single"/>
        </w:rPr>
      </w:pPr>
    </w:p>
    <w:p>
      <w:pPr>
        <w:spacing w:line="32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课程名称：药物分析</w:t>
      </w:r>
    </w:p>
    <w:p>
      <w:pPr>
        <w:spacing w:line="32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适应专业：药学</w:t>
      </w:r>
      <w:r>
        <w:rPr>
          <w:rFonts w:hint="eastAsia" w:ascii="Times New Roman" w:hAnsi="Times New Roman" w:eastAsia="黑体"/>
          <w:sz w:val="24"/>
        </w:rPr>
        <w:t>、药物制剂</w:t>
      </w:r>
    </w:p>
    <w:p>
      <w:pPr>
        <w:spacing w:line="320" w:lineRule="exact"/>
        <w:rPr>
          <w:rFonts w:ascii="Times New Roman" w:hAnsi="Times New Roman" w:eastAsia="黑体"/>
          <w:sz w:val="24"/>
        </w:rPr>
      </w:pPr>
    </w:p>
    <w:p>
      <w:pPr>
        <w:spacing w:line="3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4"/>
        </w:rPr>
        <w:t>一、考试目的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《药物分析》课程考试旨在考察学生对于《药物分析》基本理论和基本知识的理解和掌握，并侧重掌握各章节药物的鉴别、检查和含量测定等相关内容。</w:t>
      </w:r>
      <w:r>
        <w:rPr>
          <w:rFonts w:ascii="Times New Roman" w:hAnsi="Times New Roman"/>
        </w:rPr>
        <w:t>本门课程考核要求由低到高共分为“了解”、“熟悉”、“掌握”三个层次。其含义：了解，指学生能懂得所学知识，能在有关问题中认识或再现它们；熟悉，指学生清楚地理解所学知识，并且能在简单应用中正确地使用它们；掌握，指学生能较为深刻理解所学知识，并能区分各种类似的知识点的异同点，在此基础上能够准确、熟练地使用，分析解决实际问题。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总之，通过本课程的学习，学生能够掌握每类药物的基本知识、鉴别、检查和含量测定的方法，培养学生科学的思维方法，举一反三，融会贯通，并分析和解决实际问题，具备一定的分析和解决实际问题的能力，为今后的学习奠定基础。</w:t>
      </w:r>
    </w:p>
    <w:p>
      <w:pPr>
        <w:spacing w:line="320" w:lineRule="exact"/>
        <w:rPr>
          <w:rFonts w:ascii="Times New Roman" w:hAnsi="Times New Roman"/>
        </w:rPr>
      </w:pPr>
    </w:p>
    <w:p>
      <w:pPr>
        <w:spacing w:line="3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4"/>
        </w:rPr>
        <w:t>二、命题指导思想和原则</w:t>
      </w:r>
    </w:p>
    <w:p>
      <w:pPr>
        <w:spacing w:line="320" w:lineRule="exact"/>
        <w:ind w:firstLine="420" w:firstLineChars="200"/>
        <w:rPr>
          <w:szCs w:val="21"/>
        </w:rPr>
      </w:pPr>
      <w:r>
        <w:rPr>
          <w:szCs w:val="21"/>
        </w:rPr>
        <w:t>命题总的指导思想是：全面考查学生对本课程的基本原理、基本概念和主要知识点学习、理解和掌握的情况。命题的原则是：题目</w:t>
      </w:r>
      <w:r>
        <w:rPr>
          <w:rFonts w:hint="eastAsia"/>
          <w:szCs w:val="21"/>
        </w:rPr>
        <w:t>有一定的深度和广度，通过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综合</w:t>
      </w:r>
      <w:r>
        <w:rPr>
          <w:rFonts w:hint="eastAsia"/>
          <w:szCs w:val="21"/>
          <w:lang w:val="en-US" w:eastAsia="zh-CN"/>
        </w:rPr>
        <w:t>能力的考核</w:t>
      </w:r>
      <w:r>
        <w:rPr>
          <w:rFonts w:hint="eastAsia"/>
          <w:szCs w:val="21"/>
        </w:rPr>
        <w:t>选拔优秀的学生继续学习。</w:t>
      </w:r>
    </w:p>
    <w:p>
      <w:pPr>
        <w:spacing w:line="320" w:lineRule="exact"/>
        <w:rPr>
          <w:rFonts w:ascii="Times New Roman" w:hAnsi="Times New Roman"/>
          <w:sz w:val="24"/>
        </w:rPr>
      </w:pPr>
    </w:p>
    <w:p>
      <w:pPr>
        <w:spacing w:line="3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4"/>
        </w:rPr>
        <w:t>三、考试内容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第一章   绪  论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1．掌握药物和药品的定义及范围、药物分析的性质和任务。</w:t>
      </w:r>
    </w:p>
    <w:p>
      <w:pPr>
        <w:snapToGrid w:val="0"/>
        <w:spacing w:line="320" w:lineRule="exact"/>
        <w:ind w:firstLine="420" w:firstLineChars="200"/>
        <w:jc w:val="left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2．熟悉国家标准和国际标准，国家标准的组成、效力和制定原则；《中国药典》</w:t>
      </w:r>
      <w:r>
        <w:rPr>
          <w:rFonts w:hint="eastAsia" w:ascii="Times New Roman" w:hAnsi="Times New Roman"/>
          <w:bCs/>
          <w:szCs w:val="21"/>
        </w:rPr>
        <w:t>（2</w:t>
      </w:r>
      <w:r>
        <w:rPr>
          <w:rFonts w:ascii="Times New Roman" w:hAnsi="Times New Roman"/>
          <w:bCs/>
          <w:szCs w:val="21"/>
        </w:rPr>
        <w:t>020</w:t>
      </w:r>
      <w:r>
        <w:rPr>
          <w:rFonts w:hint="eastAsia" w:ascii="Times New Roman" w:hAnsi="Times New Roman"/>
          <w:bCs/>
          <w:szCs w:val="21"/>
        </w:rPr>
        <w:t>年版）</w:t>
      </w:r>
      <w:r>
        <w:rPr>
          <w:rFonts w:ascii="Times New Roman" w:hAnsi="Times New Roman"/>
          <w:bCs/>
          <w:szCs w:val="21"/>
        </w:rPr>
        <w:t>的内容和结构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药品质量检验的程序、项目与药品监督机构。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3．了解药物分析的学习要求。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第二章  药物的鉴别试验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掌握药物鉴别</w:t>
      </w:r>
      <w:r>
        <w:rPr>
          <w:rFonts w:hint="eastAsia" w:ascii="Times New Roman" w:hAnsi="Times New Roman"/>
          <w:bCs/>
          <w:szCs w:val="21"/>
        </w:rPr>
        <w:t>试验的目的，各种物理常数的测定及其对鉴别的作用，化学鉴别法、光谱鉴别法和色谱法鉴别法的基本原理和特点。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熟悉常用一般鉴别试验方法。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</w:t>
      </w:r>
      <w:r>
        <w:rPr>
          <w:rFonts w:hint="eastAsia" w:ascii="Times New Roman" w:hAnsi="Times New Roman"/>
          <w:bCs/>
          <w:szCs w:val="21"/>
        </w:rPr>
        <w:t>．了解鉴别反应的条件。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第三章  药物的杂质检查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1．掌握药物杂质的来源与分类，药物杂质限量的定义及计算方法。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2．掌握药物杂质检查的依据与方法。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3．熟悉氯化物、重金属、砷盐和溶剂残留的检查原理。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4．了解热分析法的基本原理及其在杂质研究中的应用。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第四章  药物的含量测定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容量滴定法、光谱法、色谱法等药物含量测定常用方法的特点、计算方法和应用范围；容量滴定法中滴定度的计算；色谱法中系统适用性试验项目与要求；药物含量测定中样品前处理方法；药物分析方法验证的内容与要求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2．熟悉各种含量分析方法的原理与测定条件控制；《中国药典》中药物、药物制剂含量限度要求以及表示方法；不同分析方法需要验证的内容与要求。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3．了解药物含量测定分析方法的发展趋势。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第五章  药物制剂分析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掌握药物制剂分析的特点；片剂、注射剂等常用制剂的常规检查项目和含量测定的原理及计算方法。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熟悉片剂、注射剂等常用制剂中常用辅料对含量测定的干扰和排除方法。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了解复方制剂分析的特点与方法的选择。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kern w:val="0"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kern w:val="0"/>
          <w:szCs w:val="21"/>
        </w:rPr>
        <w:t>第六章  体内药物分析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掌握生物样品去除蛋白质、提取纯化的方法，体内药物分析方法的建立。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熟悉生物样品的采集与制备，体内药物分析方法的验证。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了解体内药物分析的对象、任务及特点，药动学参数的测定。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szCs w:val="21"/>
        </w:rPr>
        <w:t xml:space="preserve"> 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第七章   巴比妥类药物的分析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1．掌握巴比妥类药物的化学结构与分析方法间的关系。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．掌握苯巴比妥、司可巴比妥钠及注射用硫喷妥钠的鉴别和含量测定的原理与方法。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3．熟悉巴比妥药物的特殊杂质检查。 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4．了解巴比妥类药物的体内药物分析方法。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szCs w:val="21"/>
        </w:rPr>
        <w:t xml:space="preserve"> 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kern w:val="0"/>
          <w:szCs w:val="21"/>
        </w:rPr>
        <w:t>第八章  芳酸类非甾体抗炎药物的分析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1．掌握本章典型药物的化学结构、理化性质、鉴别试验及含量测定方法的原理及特点。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2．熟悉阿司匹林、对氨基水杨酸钠和甲芬那酸中特殊杂质的检查方法与限量计算。 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3．了解本章典型药物鉴别的紫外分光光度法、红外分光光度法及高效液相色谱法应用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第九章  芳香胺类药物的分析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．掌握芳胺类、苯乙胺类、芳氧丙醇胺类的化学结构、理化性质、专属鉴别试验、主要的含量测定方法与原理。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2．熟悉芳香胺类的杂质检查方法。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3．了解芳香胺类体内分析方法。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第十章 杂环类药物的分析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掌握杂环类药物的基本结构、理化性质、专属鉴别试验、主要的含量测定方法与原理。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熟悉杂环类化合物的有关物质检查方法。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</w:t>
      </w:r>
      <w:r>
        <w:rPr>
          <w:rFonts w:hint="eastAsia" w:ascii="Times New Roman" w:hAnsi="Times New Roman"/>
          <w:bCs/>
          <w:szCs w:val="21"/>
        </w:rPr>
        <w:t>．</w:t>
      </w:r>
      <w:r>
        <w:rPr>
          <w:rFonts w:ascii="Times New Roman" w:hAnsi="Times New Roman"/>
          <w:bCs/>
          <w:szCs w:val="21"/>
        </w:rPr>
        <w:t>了解杂环类药物其它的鉴别方法。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第十一章  维生素类药物的分析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．掌握维生素A、维生素B</w:t>
      </w:r>
      <w:r>
        <w:rPr>
          <w:rFonts w:ascii="Times New Roman" w:hAnsi="Times New Roman"/>
          <w:bCs/>
          <w:szCs w:val="21"/>
          <w:vertAlign w:val="subscript"/>
        </w:rPr>
        <w:t>1</w:t>
      </w:r>
      <w:r>
        <w:rPr>
          <w:rFonts w:ascii="Times New Roman" w:hAnsi="Times New Roman"/>
          <w:bCs/>
          <w:szCs w:val="21"/>
        </w:rPr>
        <w:t>、维生素C、维生素E的化学结构、理化性质、专属鉴别试验、主要的含量测定方法与原理。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2．熟悉维生素C、维生素E的杂质检查。</w:t>
      </w:r>
    </w:p>
    <w:p>
      <w:pPr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3．了解维生素D的化学结构、性质与分析特点。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第十二章  甾体激素类药物的分析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1．掌握甾体激素类药物的分类、化学结构、理化性质、化学鉴别试验、有关物质的色谱检查方法、高效液相色谱法测定含量的方法与原理。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2．熟悉甾体激素类药物的光谱鉴别法、四氮唑比色法和紫外-可见分光光度法测定含量的原理。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3．了解甾体激素类药物的其他分析方法。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第十三章  抗生素类药物的分析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1．掌握抗生素类药物的类型、结构、质量和稳定性特点以及分析方法。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2．熟悉各类抗生素药物的有关物质来源、特点和检查方法。</w:t>
      </w:r>
    </w:p>
    <w:p>
      <w:pPr>
        <w:snapToGrid w:val="0"/>
        <w:spacing w:line="320" w:lineRule="exact"/>
        <w:ind w:firstLine="420" w:firstLineChars="20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3．了解抗生素药物的其他分析项目与方法。</w:t>
      </w:r>
    </w:p>
    <w:p>
      <w:pPr>
        <w:spacing w:line="320" w:lineRule="exact"/>
        <w:ind w:firstLine="420" w:firstLineChars="200"/>
        <w:rPr>
          <w:rFonts w:ascii="Times New Roman" w:hAnsi="Times New Roman"/>
        </w:rPr>
      </w:pPr>
    </w:p>
    <w:p>
      <w:pPr>
        <w:spacing w:line="3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4"/>
        </w:rPr>
        <w:t>四、考试方式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1．考试方式：</w:t>
      </w:r>
      <w:r>
        <w:rPr>
          <w:rFonts w:hint="eastAsia" w:ascii="Times New Roman" w:hAnsi="Times New Roman"/>
          <w:szCs w:val="21"/>
        </w:rPr>
        <w:t>纸质闭卷考试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2．记分方式：百分制 总分为100分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3．考试时量：</w:t>
      </w: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0分钟</w:t>
      </w:r>
    </w:p>
    <w:p>
      <w:pPr>
        <w:spacing w:line="32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Times New Roman" w:hAnsi="Times New Roman" w:eastAsia="黑体"/>
          <w:sz w:val="24"/>
          <w:lang w:val="en-US" w:eastAsia="zh-CN"/>
        </w:rPr>
        <w:t>五、</w:t>
      </w:r>
      <w:bookmarkStart w:id="0" w:name="_GoBack"/>
      <w:bookmarkEnd w:id="0"/>
      <w:r>
        <w:rPr>
          <w:rFonts w:ascii="Times New Roman" w:hAnsi="Times New Roman" w:eastAsia="黑体"/>
          <w:sz w:val="24"/>
        </w:rPr>
        <w:t>教材</w:t>
      </w:r>
    </w:p>
    <w:p>
      <w:pPr>
        <w:snapToGrid w:val="0"/>
        <w:spacing w:line="320" w:lineRule="exact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张振秋、马宁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药物分析（第2版）北京：中国医药科技出版社，2021。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NjU1MzY1OTY5Y2ZiOWExOWJkMzVlMTA1YzAyM2EifQ=="/>
  </w:docVars>
  <w:rsids>
    <w:rsidRoot w:val="2D6A52D2"/>
    <w:rsid w:val="00141328"/>
    <w:rsid w:val="003F71B5"/>
    <w:rsid w:val="00841ECE"/>
    <w:rsid w:val="00BC1B16"/>
    <w:rsid w:val="00F42E2B"/>
    <w:rsid w:val="07AA010E"/>
    <w:rsid w:val="2D6A52D2"/>
    <w:rsid w:val="2EC37927"/>
    <w:rsid w:val="42CA0734"/>
    <w:rsid w:val="4BC05D04"/>
    <w:rsid w:val="799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jc w:val="center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20" w:lineRule="exact"/>
      <w:ind w:firstLine="640" w:firstLineChars="200"/>
      <w:outlineLvl w:val="1"/>
    </w:pPr>
    <w:rPr>
      <w:rFonts w:ascii="Arial" w:hAnsi="Ari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9"/>
    <w:rPr>
      <w:rFonts w:ascii="宋体" w:hAnsi="宋体" w:eastAsia="黑体" w:cs="Times New Roman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2044</Words>
  <Characters>2054</Characters>
  <Lines>16</Lines>
  <Paragraphs>4</Paragraphs>
  <TotalTime>2</TotalTime>
  <ScaleCrop>false</ScaleCrop>
  <LinksUpToDate>false</LinksUpToDate>
  <CharactersWithSpaces>2091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2022-03-07T00:35:00Z</dcterms:created>
  <dc:creator>66</dc:creator>
  <cp:lastModifiedBy>蓑笠翁1419997485</cp:lastModifiedBy>
  <dcterms:modified xsi:type="dcterms:W3CDTF">2023-03-21T00:57:35Z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F50348A525254CBF838A01CC709FD6EA</vt:lpwstr>
  </property>
</Properties>
</file>