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《牙体牙髓病学》考试大纲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24"/>
        </w:rPr>
        <w:t>课程名称</w:t>
      </w:r>
      <w:r>
        <w:rPr>
          <w:rFonts w:hint="eastAsia" w:ascii="黑体" w:hAnsi="仿宋_GB2312" w:eastAsia="黑体" w:cs="仿宋_GB2312"/>
          <w:b w:val="0"/>
          <w:bCs/>
          <w:color w:val="000000"/>
          <w:sz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牙体牙髓病学</w:t>
      </w:r>
      <w:r>
        <w:rPr>
          <w:rFonts w:hint="eastAsia" w:ascii="黑体" w:hAnsi="黑体" w:eastAsia="黑体" w:cs="黑体"/>
          <w:bCs/>
          <w:sz w:val="24"/>
          <w:szCs w:val="24"/>
        </w:rPr>
        <w:t xml:space="preserve">（Operative dentistry and </w:t>
      </w:r>
      <w:r>
        <w:rPr>
          <w:rFonts w:hint="eastAsia" w:ascii="黑体" w:hAnsi="黑体" w:eastAsia="黑体" w:cs="黑体"/>
          <w:bCs/>
          <w:sz w:val="24"/>
          <w:szCs w:val="24"/>
          <w:u w:val="none"/>
        </w:rPr>
        <w:t>endodontics</w:t>
      </w:r>
      <w:r>
        <w:rPr>
          <w:rFonts w:hint="eastAsia" w:ascii="黑体" w:hAnsi="黑体" w:eastAsia="黑体" w:cs="黑体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24"/>
        </w:rPr>
        <w:t>适应专业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  <w:t>：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>口腔医学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黑体" w:hAnsi="仿宋_GB2312" w:eastAsia="黑体" w:cs="仿宋_GB2312"/>
          <w:b w:val="0"/>
          <w:bCs/>
          <w:sz w:val="24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24"/>
        </w:rPr>
        <w:t>一、考试目的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牙体牙髓病学是研究牙体硬组织疾病发病机制、病理变化、病理生理、临床表现、治疗及转归的一门学科。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要求学生掌握牙体硬组织常见病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和</w:t>
      </w:r>
      <w:r>
        <w:rPr>
          <w:rFonts w:hint="eastAsia" w:cs="仿宋_GB2312" w:asciiTheme="majorEastAsia" w:hAnsiTheme="majorEastAsia" w:eastAsiaTheme="majorEastAsia"/>
          <w:szCs w:val="21"/>
        </w:rPr>
        <w:t>多发病的病因、发病机制、临床表现、诊断、防治的理论知识和技能，把学过的医学基础、医学理论和口腔医学的知识运用到牙体牙髓病学当中</w:t>
      </w:r>
      <w:r>
        <w:rPr>
          <w:rFonts w:hint="eastAsia" w:cs="仿宋_GB2312" w:asciiTheme="majorEastAsia" w:hAnsiTheme="majorEastAsia" w:eastAsiaTheme="majorEastAsia"/>
          <w:szCs w:val="21"/>
          <w:lang w:eastAsia="zh-CN"/>
        </w:rPr>
        <w:t>，</w:t>
      </w:r>
      <w:r>
        <w:rPr>
          <w:rFonts w:hint="eastAsia" w:cs="仿宋_GB2312" w:asciiTheme="majorEastAsia" w:hAnsiTheme="majorEastAsia" w:eastAsiaTheme="majorEastAsia"/>
          <w:szCs w:val="21"/>
        </w:rPr>
        <w:t>为毕业后独立从事口腔医学临床工作和继续提高奠定基础，并且培养良好的工作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能力</w:t>
      </w:r>
      <w:r>
        <w:rPr>
          <w:rFonts w:hint="eastAsia" w:cs="仿宋_GB2312" w:asciiTheme="majorEastAsia" w:hAnsiTheme="majorEastAsia" w:eastAsiaTheme="majorEastAsia"/>
          <w:szCs w:val="21"/>
        </w:rPr>
        <w:t>和服务态度。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本门课程考试要求由低到高共分为“了解”、“熟悉”、</w:t>
      </w:r>
      <w:r>
        <w:rPr>
          <w:rFonts w:hint="eastAsia" w:cs="仿宋_GB2312" w:asciiTheme="majorEastAsia" w:hAnsiTheme="majorEastAsia" w:eastAsiaTheme="majorEastAsia"/>
          <w:szCs w:val="21"/>
          <w:lang w:eastAsia="zh-CN"/>
        </w:rPr>
        <w:t>“</w:t>
      </w:r>
      <w:r>
        <w:rPr>
          <w:rFonts w:hint="eastAsia" w:cs="仿宋_GB2312" w:asciiTheme="majorEastAsia" w:hAnsiTheme="majorEastAsia" w:eastAsiaTheme="majorEastAsia"/>
          <w:szCs w:val="21"/>
        </w:rPr>
        <w:t>掌握</w:t>
      </w:r>
      <w:r>
        <w:rPr>
          <w:rFonts w:hint="eastAsia" w:cs="仿宋_GB2312" w:asciiTheme="majorEastAsia" w:hAnsiTheme="majorEastAsia" w:eastAsiaTheme="majorEastAsia"/>
          <w:szCs w:val="21"/>
          <w:lang w:eastAsia="zh-CN"/>
        </w:rPr>
        <w:t>”</w:t>
      </w:r>
      <w:r>
        <w:rPr>
          <w:rFonts w:hint="eastAsia" w:cs="仿宋_GB2312" w:asciiTheme="majorEastAsia" w:hAnsiTheme="majorEastAsia" w:eastAsiaTheme="majorEastAsia"/>
          <w:szCs w:val="21"/>
        </w:rPr>
        <w:t>三个层次。其含义为：了解，指学生能懂所学知识，能在有关问题中认识或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再</w:t>
      </w:r>
      <w:r>
        <w:rPr>
          <w:rFonts w:hint="eastAsia" w:cs="仿宋_GB2312" w:asciiTheme="majorEastAsia" w:hAnsiTheme="majorEastAsia" w:eastAsiaTheme="majorEastAsia"/>
          <w:szCs w:val="21"/>
        </w:rPr>
        <w:t>现它们（例如，龋病发病机制的解释）</w:t>
      </w:r>
      <w:r>
        <w:rPr>
          <w:rFonts w:hint="eastAsia" w:cs="仿宋_GB2312" w:asciiTheme="majorEastAsia" w:hAnsiTheme="majorEastAsia" w:eastAsiaTheme="majorEastAsia"/>
          <w:szCs w:val="21"/>
          <w:lang w:eastAsia="zh-CN"/>
        </w:rPr>
        <w:t>；</w:t>
      </w:r>
      <w:r>
        <w:rPr>
          <w:rFonts w:hint="eastAsia" w:cs="仿宋_GB2312" w:asciiTheme="majorEastAsia" w:hAnsiTheme="majorEastAsia" w:eastAsiaTheme="majorEastAsia"/>
          <w:szCs w:val="21"/>
        </w:rPr>
        <w:t>熟悉，指学生清楚地理解所学知识（例如与龋病发病关系密切的微生物及其致龋特征）</w:t>
      </w:r>
      <w:r>
        <w:rPr>
          <w:rFonts w:hint="eastAsia" w:cs="仿宋_GB2312" w:asciiTheme="majorEastAsia" w:hAnsiTheme="majorEastAsia" w:eastAsiaTheme="majorEastAsia"/>
          <w:szCs w:val="21"/>
          <w:lang w:eastAsia="zh-CN"/>
        </w:rPr>
        <w:t>；</w:t>
      </w:r>
      <w:r>
        <w:rPr>
          <w:rFonts w:hint="eastAsia" w:cs="仿宋_GB2312" w:asciiTheme="majorEastAsia" w:hAnsiTheme="majorEastAsia" w:eastAsiaTheme="majorEastAsia"/>
          <w:szCs w:val="21"/>
        </w:rPr>
        <w:t>掌握，指学生能较为深刻理解所学知识（龋病的定义和特征和龋病的好发部位），在此基础上能够准确、熟练地使用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它们来</w:t>
      </w:r>
      <w:r>
        <w:rPr>
          <w:rFonts w:hint="eastAsia" w:cs="仿宋_GB2312" w:asciiTheme="majorEastAsia" w:hAnsiTheme="majorEastAsia" w:eastAsiaTheme="majorEastAsia"/>
          <w:szCs w:val="21"/>
        </w:rPr>
        <w:t>分析解决较为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实际的临床</w:t>
      </w:r>
      <w:r>
        <w:rPr>
          <w:rFonts w:hint="eastAsia" w:cs="仿宋_GB2312" w:asciiTheme="majorEastAsia" w:hAnsiTheme="majorEastAsia" w:eastAsiaTheme="majorEastAsia"/>
          <w:szCs w:val="21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仿宋_GB2312" w:eastAsia="黑体" w:cs="仿宋_GB2312"/>
          <w:b w:val="0"/>
          <w:bCs/>
          <w:color w:val="000000"/>
          <w:sz w:val="24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24"/>
        </w:rPr>
        <w:t>二、命题指导思想和原则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cs="仿宋_GB2312" w:asciiTheme="minorEastAsia" w:hAnsiTheme="minorEastAsia"/>
          <w:color w:val="000000"/>
          <w:szCs w:val="21"/>
        </w:rPr>
        <w:t>命题</w:t>
      </w:r>
      <w:r>
        <w:rPr>
          <w:rFonts w:hint="eastAsia" w:cs="仿宋_GB2312" w:asciiTheme="minorEastAsia" w:hAnsiTheme="minorEastAsia"/>
          <w:color w:val="000000"/>
          <w:szCs w:val="21"/>
          <w:lang w:val="en-US" w:eastAsia="zh-CN"/>
        </w:rPr>
        <w:t>总的指导思想是</w:t>
      </w:r>
      <w:r>
        <w:rPr>
          <w:rFonts w:hint="eastAsia" w:cs="仿宋_GB2312" w:asciiTheme="minorEastAsia" w:hAnsiTheme="minorEastAsia"/>
          <w:color w:val="000000"/>
          <w:szCs w:val="21"/>
        </w:rPr>
        <w:t>：全面考查学生对本课程的基本理论、基本概念和基本知识学习、理解和掌握的情况。</w:t>
      </w:r>
      <w:r>
        <w:rPr>
          <w:szCs w:val="21"/>
        </w:rPr>
        <w:t>命题的原则是：题目</w:t>
      </w:r>
      <w:r>
        <w:rPr>
          <w:rFonts w:hint="eastAsia"/>
          <w:szCs w:val="21"/>
        </w:rPr>
        <w:t>有一定的深度和广度，通过</w:t>
      </w:r>
      <w:r>
        <w:rPr>
          <w:rFonts w:hint="eastAsia"/>
          <w:szCs w:val="21"/>
          <w:lang w:val="en-US" w:eastAsia="zh-CN"/>
        </w:rPr>
        <w:t>对</w:t>
      </w:r>
      <w:r>
        <w:rPr>
          <w:rFonts w:hint="eastAsia"/>
          <w:szCs w:val="21"/>
        </w:rPr>
        <w:t>综合</w:t>
      </w:r>
      <w:r>
        <w:rPr>
          <w:rFonts w:hint="eastAsia"/>
          <w:szCs w:val="21"/>
          <w:lang w:val="en-US" w:eastAsia="zh-CN"/>
        </w:rPr>
        <w:t>能力的考核</w:t>
      </w:r>
      <w:r>
        <w:rPr>
          <w:rFonts w:hint="eastAsia"/>
          <w:szCs w:val="21"/>
        </w:rPr>
        <w:t>选拔优秀的学生继续学习。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仿宋_GB2312" w:eastAsia="黑体" w:cs="仿宋_GB2312"/>
          <w:b w:val="0"/>
          <w:bCs/>
          <w:color w:val="000000"/>
          <w:sz w:val="24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24"/>
        </w:rPr>
        <w:t xml:space="preserve">三、考试内容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Cs w:val="21"/>
        </w:rPr>
        <w:t xml:space="preserve">第一章  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cs="仿宋_GB2312" w:asciiTheme="majorEastAsia" w:hAnsiTheme="majorEastAsia" w:eastAsiaTheme="majorEastAsia"/>
          <w:szCs w:val="21"/>
        </w:rPr>
        <w:t>.掌握龋病的定义和特征和龋病的好发部位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cs="仿宋_GB2312" w:asciiTheme="majorEastAsia" w:hAnsiTheme="majorEastAsia" w:eastAsiaTheme="majorEastAsia"/>
          <w:szCs w:val="21"/>
        </w:rPr>
        <w:t>.熟悉龋病的历史、龋病学的研究内容、现代人龋病流行情况、龋病流行趋势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第二章  病因及发病过程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.</w:t>
      </w:r>
      <w:r>
        <w:rPr>
          <w:rFonts w:hint="eastAsia" w:cs="仿宋_GB2312" w:asciiTheme="majorEastAsia" w:hAnsiTheme="majorEastAsia" w:eastAsiaTheme="majorEastAsia"/>
          <w:szCs w:val="21"/>
        </w:rPr>
        <w:t>掌握牙菌斑的形成过程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cs="仿宋_GB2312" w:asciiTheme="majorEastAsia" w:hAnsiTheme="majorEastAsia" w:eastAsiaTheme="majorEastAsia"/>
          <w:szCs w:val="21"/>
        </w:rPr>
        <w:t>.熟悉与龋病发病关系密切的微生物及其致龋特征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cs="仿宋_GB2312" w:asciiTheme="majorEastAsia" w:hAnsiTheme="majorEastAsia" w:eastAsiaTheme="majorEastAsia"/>
          <w:szCs w:val="21"/>
        </w:rPr>
        <w:t>.了解龋病发病机制的解释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第三章  临床表现与诊断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掌握龋病的临床表现、诊断方法和诊断标准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熟悉龋病的临床分类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了解龋病的病理过程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cs="仿宋_GB2312" w:asciiTheme="majorEastAsia" w:hAnsiTheme="majorEastAsia" w:eastAsiaTheme="majorEastAsia"/>
          <w:szCs w:val="21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Cs w:val="21"/>
        </w:rPr>
        <w:t>第四章  龋病治疗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.掌握牙体非手术治疗方法，深龋、根面龋的治疗以及牙体修复与材料选择的原则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.熟悉窝沟的分类和结构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.了解牙体修复治疗的生物学基础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二篇</w:t>
      </w:r>
      <w:r>
        <w:rPr>
          <w:rFonts w:hint="eastAsia" w:cs="仿宋_GB2312" w:asciiTheme="majorEastAsia" w:hAnsiTheme="majorEastAsia" w:eastAsiaTheme="majorEastAsia"/>
          <w:szCs w:val="21"/>
        </w:rPr>
        <w:t xml:space="preserve">  牙本硬组织非龋性疾病的治疗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Cs w:val="21"/>
        </w:rPr>
        <w:t>1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掌握着色牙，尤其氟牙症的发病机制和预防原则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掌握牙外伤的种类及处理原则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熟悉着色牙的分类及诊断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.熟悉畸形中央尖的特点及治疗原则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.了解牙发育异常的病因及种类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inorEastAsia"/>
          <w:bCs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.了解牙本质发育不全的病因及分类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 w:eastAsiaTheme="minorEastAsia"/>
          <w:b w:val="0"/>
          <w:bCs w:val="0"/>
          <w:szCs w:val="21"/>
        </w:rPr>
      </w:pPr>
      <w:r>
        <w:rPr>
          <w:rFonts w:hint="eastAsia" w:cs="仿宋_GB2312" w:asciiTheme="minorEastAsia" w:hAnsiTheme="minorEastAsia" w:eastAsiaTheme="minorEastAsia"/>
          <w:b w:val="0"/>
          <w:bCs w:val="0"/>
          <w:szCs w:val="21"/>
          <w:lang w:val="en-US" w:eastAsia="zh-CN"/>
        </w:rPr>
        <w:t>第九章 牙体修复治疗术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1.</w:t>
      </w:r>
      <w:r>
        <w:rPr>
          <w:rFonts w:hint="eastAsia" w:cs="仿宋_GB2312" w:asciiTheme="minorEastAsia" w:hAnsiTheme="minorEastAsia" w:eastAsiaTheme="minorEastAsia"/>
          <w:bCs/>
          <w:szCs w:val="21"/>
        </w:rPr>
        <w:t>掌握牙体修复治疗术的定义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复合树脂直接修复术的适应证和优缺点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牙釉质和牙髓牙本质复合体的生物学基础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textAlignment w:val="auto"/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2.</w:t>
      </w:r>
      <w:r>
        <w:rPr>
          <w:rFonts w:hint="eastAsia" w:cs="仿宋_GB2312" w:asciiTheme="minorEastAsia" w:hAnsiTheme="minorEastAsia" w:eastAsiaTheme="minorEastAsia"/>
          <w:bCs/>
          <w:szCs w:val="21"/>
        </w:rPr>
        <w:t>了解牙体修复治疗术的发展和趋势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3.熟悉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牙体直接修复治疗术的疗效与评价。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65"/>
          <w:tab w:val="center" w:pos="4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 w:val="0"/>
          <w:bCs w:val="0"/>
          <w:szCs w:val="21"/>
          <w:lang w:val="en-US" w:eastAsia="zh-CN"/>
        </w:rPr>
        <w:t>第十章 牙体预备与</w:t>
      </w:r>
      <w:r>
        <w:rPr>
          <w:rFonts w:hint="eastAsia" w:cs="仿宋_GB2312" w:asciiTheme="minorEastAsia" w:hAnsiTheme="minorEastAsia" w:eastAsiaTheme="minorEastAsia"/>
          <w:b w:val="0"/>
          <w:bCs w:val="0"/>
          <w:szCs w:val="21"/>
        </w:rPr>
        <w:t>银汞合金充填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.</w:t>
      </w:r>
      <w:r>
        <w:rPr>
          <w:rFonts w:hint="eastAsia" w:cs="仿宋_GB2312" w:asciiTheme="minorEastAsia" w:hAnsiTheme="minorEastAsia" w:eastAsiaTheme="minorEastAsia"/>
          <w:bCs/>
          <w:szCs w:val="21"/>
        </w:rPr>
        <w:t>掌握窝洞预备的基本原则、基本步骤；银汞合金充填术的适应症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.熟悉龋病治疗的并发症几处理；各类银汞合金充填窝洞的预备要点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  <w:t>3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.了解银汞合金的调制；汞污染及预防</w:t>
      </w:r>
    </w:p>
    <w:p>
      <w:pPr>
        <w:numPr>
          <w:ilvl w:val="0"/>
          <w:numId w:val="0"/>
        </w:numPr>
        <w:spacing w:line="320" w:lineRule="exact"/>
        <w:ind w:firstLine="420" w:firstLineChars="200"/>
        <w:jc w:val="left"/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cs="仿宋_GB2312" w:asciiTheme="minorEastAsia" w:hAnsiTheme="minorEastAsia"/>
          <w:bCs/>
          <w:szCs w:val="21"/>
          <w:lang w:val="en-US" w:eastAsia="zh-CN"/>
        </w:rPr>
        <w:t>第十一章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牙体修复材料及粘结材料的应用基础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1.</w:t>
      </w:r>
      <w:r>
        <w:rPr>
          <w:rFonts w:hint="eastAsia" w:cs="仿宋_GB2312" w:asciiTheme="minorEastAsia" w:hAnsiTheme="minorEastAsia" w:eastAsiaTheme="minorEastAsia"/>
          <w:bCs/>
          <w:szCs w:val="21"/>
        </w:rPr>
        <w:t>掌握酸蚀刻技术、玷污层、酸蚀–冲洗粘接系统、自酸蚀粘接系统的概念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牙釉质、牙本质的粘接机制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牙本质粘接系统的分类和临床选择。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2.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熟悉复合树脂的分类、性能与临床应用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玻璃离子水门汀的性能与临床应用。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3.</w:t>
      </w:r>
      <w:r>
        <w:rPr>
          <w:rFonts w:hint="eastAsia" w:cs="仿宋_GB2312" w:asciiTheme="minorEastAsia" w:hAnsiTheme="minorEastAsia" w:eastAsiaTheme="minorEastAsia"/>
          <w:bCs/>
          <w:szCs w:val="21"/>
        </w:rPr>
        <w:t>了解牙色材料的特点及应用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复合树脂的组成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玻璃离子水门汀的分类</w:t>
      </w:r>
      <w:r>
        <w:rPr>
          <w:rFonts w:hint="eastAsia" w:cs="仿宋_GB2312" w:asciiTheme="minorEastAsia" w:hAnsiTheme="minorEastAsia" w:eastAsiaTheme="minorEastAsia"/>
          <w:bCs/>
          <w:szCs w:val="21"/>
          <w:lang w:eastAsia="zh-CN"/>
        </w:rPr>
        <w:t>；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牙体粘接材料的发展过程。</w:t>
      </w:r>
    </w:p>
    <w:p>
      <w:pPr>
        <w:spacing w:line="320" w:lineRule="exact"/>
        <w:ind w:firstLine="420" w:firstLineChars="200"/>
        <w:jc w:val="left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 w:val="0"/>
          <w:bCs w:val="0"/>
          <w:szCs w:val="21"/>
        </w:rPr>
        <w:t>第</w:t>
      </w:r>
      <w:r>
        <w:rPr>
          <w:rFonts w:hint="eastAsia" w:cs="仿宋_GB2312" w:asciiTheme="minorEastAsia" w:hAnsiTheme="minorEastAsia" w:eastAsiaTheme="minorEastAsia"/>
          <w:b w:val="0"/>
          <w:bCs w:val="0"/>
          <w:szCs w:val="21"/>
          <w:lang w:val="en-US" w:eastAsia="zh-CN"/>
        </w:rPr>
        <w:t>十二</w:t>
      </w:r>
      <w:r>
        <w:rPr>
          <w:rFonts w:hint="eastAsia" w:cs="仿宋_GB2312" w:asciiTheme="minorEastAsia" w:hAnsiTheme="minorEastAsia" w:eastAsiaTheme="minorEastAsia"/>
          <w:b w:val="0"/>
          <w:bCs w:val="0"/>
          <w:szCs w:val="21"/>
        </w:rPr>
        <w:t>章  牙体缺损的粘结修复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.掌握复合树脂直接修复术的适应症、禁忌症和优缺点；牙本质粘结系统的分型、机制和临床选择；复合树脂直接修复的临床操作步骤；前牙Ⅲ类洞的复合树脂直接修复；后牙Ⅰ、Ⅱ类洞复合树脂直接修复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.熟悉釉质粘结系统及其机制；复合树脂的材料性能及其影响因素；玻璃离子、复合体等材料的临床应用；前牙Ⅳ类洞复合树脂直接修复；后牙复合树脂直接修复失败的原因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  <w:lang w:val="en-US" w:eastAsia="zh-CN"/>
        </w:rPr>
        <w:t>3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.了解牙体粘结的发展过程；牙体修复材料复合树脂、玻璃离子体积复合体的性能</w:t>
      </w:r>
    </w:p>
    <w:p>
      <w:pPr>
        <w:numPr>
          <w:ilvl w:val="0"/>
          <w:numId w:val="0"/>
        </w:numPr>
        <w:spacing w:line="320" w:lineRule="exact"/>
        <w:ind w:leftChars="0" w:firstLine="420" w:firstLineChars="200"/>
        <w:jc w:val="left"/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第十三章 深龋治疗与盖髓术</w:t>
      </w:r>
    </w:p>
    <w:p>
      <w:pPr>
        <w:numPr>
          <w:ilvl w:val="0"/>
          <w:numId w:val="0"/>
        </w:numPr>
        <w:spacing w:line="320" w:lineRule="exact"/>
        <w:ind w:leftChars="200"/>
        <w:jc w:val="both"/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1.</w:t>
      </w:r>
      <w:r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  <w:t>掌握深龋治疗的原则及盖髓术的适应证。</w:t>
      </w:r>
    </w:p>
    <w:p>
      <w:pPr>
        <w:numPr>
          <w:ilvl w:val="0"/>
          <w:numId w:val="0"/>
        </w:numPr>
        <w:spacing w:line="320" w:lineRule="exact"/>
        <w:ind w:leftChars="200"/>
        <w:jc w:val="both"/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2.</w:t>
      </w:r>
      <w:r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  <w:t>熟悉间接盖髓术和直接盖髓术的操作步骤。</w:t>
      </w:r>
    </w:p>
    <w:p>
      <w:pPr>
        <w:numPr>
          <w:ilvl w:val="0"/>
          <w:numId w:val="0"/>
        </w:numPr>
        <w:spacing w:line="320" w:lineRule="exact"/>
        <w:ind w:leftChars="200"/>
        <w:jc w:val="both"/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3.</w:t>
      </w:r>
      <w:r>
        <w:rPr>
          <w:rFonts w:hint="default" w:cs="仿宋_GB2312" w:asciiTheme="minorEastAsia" w:hAnsiTheme="minorEastAsia" w:eastAsiaTheme="minorEastAsia"/>
          <w:bCs/>
          <w:szCs w:val="21"/>
          <w:lang w:val="en-US" w:eastAsia="zh-CN"/>
        </w:rPr>
        <w:t>了解盖髓术的原理。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第十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四</w:t>
      </w:r>
      <w:r>
        <w:rPr>
          <w:rFonts w:hint="eastAsia" w:cs="仿宋_GB2312" w:asciiTheme="majorEastAsia" w:hAnsiTheme="majorEastAsia" w:eastAsiaTheme="majorEastAsia"/>
          <w:szCs w:val="21"/>
        </w:rPr>
        <w:t>章  牙髓及根尖周组织生理学特点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.掌握牙髓的形态学特点和成牙本质细胞结构特点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.熟悉牙髓的功能及牙髓感觉神经纤维的特点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.了解牙髓增龄性变化和牙骨质的生理学特点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第十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五</w:t>
      </w:r>
      <w:r>
        <w:rPr>
          <w:rFonts w:hint="eastAsia" w:cs="仿宋_GB2312" w:asciiTheme="majorEastAsia" w:hAnsiTheme="majorEastAsia" w:eastAsiaTheme="majorEastAsia"/>
          <w:szCs w:val="21"/>
        </w:rPr>
        <w:t>章  牙髓及根尖周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病</w:t>
      </w:r>
      <w:r>
        <w:rPr>
          <w:rFonts w:hint="eastAsia" w:cs="仿宋_GB2312" w:asciiTheme="majorEastAsia" w:hAnsiTheme="majorEastAsia" w:eastAsiaTheme="majorEastAsia"/>
          <w:szCs w:val="21"/>
        </w:rPr>
        <w:t>病因及发病机制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.掌握细菌因素在牙髓病和根尖周病的发病中的作用及机制；牙髓病和根尖周病的感染途径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.熟悉细菌因素的致病机制及宿主的反应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.了解物理、化学、免疫因素的作用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第十五章  牙髓病的临床表现及诊断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.掌握各型牙髓病的临床诊断术语、临床表现、诊断要点；牙髓炎的诊断程序和鉴别诊断思路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.熟悉牙髓的各种病理变化和分类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.了解牙痛的鉴别诊断思路和所需鉴别的疾病</w:t>
      </w:r>
    </w:p>
    <w:p>
      <w:pPr>
        <w:spacing w:line="320" w:lineRule="exact"/>
        <w:ind w:firstLine="420" w:firstLineChars="200"/>
        <w:jc w:val="left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Cs/>
          <w:szCs w:val="21"/>
        </w:rPr>
        <w:t>第十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六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章</w:t>
      </w:r>
      <w:r>
        <w:rPr>
          <w:rFonts w:hint="eastAsia" w:cs="仿宋_GB2312" w:asciiTheme="minorEastAsia" w:hAnsiTheme="minorEastAsia"/>
          <w:bCs/>
          <w:szCs w:val="21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牙髓病的临床表现及诊断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default" w:ascii="Times New Roman" w:hAnsi="Times New Roman" w:cs="Times New Roman" w:eastAsiaTheme="minorEastAsia"/>
          <w:bCs/>
          <w:szCs w:val="21"/>
        </w:rPr>
        <w:t>1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.掌握各型牙髓病的临床诊断术语、临床表现、诊断要点；牙髓炎的诊断程序和鉴别诊断思路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2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.熟悉牙髓的各种病理变化和分类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3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.了解牙痛的鉴别诊断思路和所需鉴别的疾病</w:t>
      </w:r>
    </w:p>
    <w:p>
      <w:pPr>
        <w:spacing w:line="320" w:lineRule="exact"/>
        <w:ind w:firstLine="420" w:firstLineChars="200"/>
        <w:jc w:val="left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cs="仿宋_GB2312" w:asciiTheme="minorEastAsia" w:hAnsiTheme="minorEastAsia" w:eastAsiaTheme="minorEastAsia"/>
          <w:bCs/>
          <w:szCs w:val="21"/>
        </w:rPr>
        <w:t>第十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七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章  根尖周病的临床表现及诊断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default" w:ascii="Times New Roman" w:hAnsi="Times New Roman" w:cs="Times New Roman" w:eastAsiaTheme="minorEastAsia"/>
          <w:bCs/>
          <w:szCs w:val="21"/>
        </w:rPr>
        <w:t>1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.掌握各型根尖周病的临床表现和诊断；急性根尖周炎的临床分期、排脓通道和排脓方式；急性根尖周脓肿与急性牙周脓肿的鉴别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2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.熟悉慢性根尖周炎的分型好病理变化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3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.了解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慢性根尖周炎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的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临床病理</w:t>
      </w:r>
    </w:p>
    <w:p>
      <w:pPr>
        <w:spacing w:line="320" w:lineRule="exact"/>
        <w:ind w:firstLine="420" w:firstLineChars="200"/>
        <w:jc w:val="left"/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Cs w:val="21"/>
        </w:rPr>
        <w:t>第十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八</w:t>
      </w:r>
      <w:r>
        <w:rPr>
          <w:rFonts w:hint="eastAsia" w:cs="仿宋_GB2312" w:asciiTheme="minorEastAsia" w:hAnsiTheme="minorEastAsia" w:eastAsiaTheme="minorEastAsia"/>
          <w:bCs/>
          <w:szCs w:val="21"/>
        </w:rPr>
        <w:t>章　牙髓病和根尖周病治疗</w:t>
      </w:r>
      <w:r>
        <w:rPr>
          <w:rFonts w:hint="eastAsia" w:cs="仿宋_GB2312" w:asciiTheme="minorEastAsia" w:hAnsiTheme="minorEastAsia" w:eastAsiaTheme="minorEastAsia"/>
          <w:bCs/>
          <w:szCs w:val="21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default" w:ascii="Times New Roman" w:hAnsi="Times New Roman" w:cs="Times New Roman" w:eastAsiaTheme="minorEastAsia"/>
          <w:bCs/>
          <w:szCs w:val="21"/>
        </w:rPr>
        <w:t>1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.掌握牙髓病和根尖周病的治疗原则和应急处理措施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2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.熟悉橡皮障隔离法、局部麻醉的常用方法及牙髓失活法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inorEastAsia" w:hAnsiTheme="minorEastAsia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3</w:t>
      </w:r>
      <w:r>
        <w:rPr>
          <w:rFonts w:hint="eastAsia" w:cs="仿宋_GB2312" w:asciiTheme="minorEastAsia" w:hAnsiTheme="minorEastAsia" w:eastAsiaTheme="minorEastAsia"/>
          <w:bCs/>
          <w:szCs w:val="21"/>
        </w:rPr>
        <w:t>.了解牙髓病和根尖周病的治疗计划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第十九章  根管治疗术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.掌握根管治疗术的概念、病例选择和操作原则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.熟悉根管治疗术的原理和疗效评价标准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.了解根管治疗术的发展概况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第二十章  髓腔应用解剖与开髓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掌握各牙位的髓腔应用解剖特点；开髓术及常用器械使用方法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熟悉根尖解剖特点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了解牙根发生特点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第二十一章  根管预备与消毒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.掌握常用根管预备技术的基本步骤、优缺点和注意事项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.熟悉各种手用不锈钢器械和机用镍钛器械的特点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.了解根管超声冲洗和消毒药物的使用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第二十二章  根管充填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.掌握根管充填材料的种类和性能以及侧方加压根管充填方法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.熟悉垂直加压充填技术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</w:rPr>
        <w:t>.了解其他类型的根管充填方法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第二十三章　　根尖诱导成形术与根尖屏障术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[目的要求]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1.掌握根尖诱导成形术的修复机制和愈合类型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2.熟悉根尖诱导成形术的操作步骤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3.了解根尖屏障术的原理和操作步骤。[讲课时数] 2学时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第二十</w:t>
      </w:r>
      <w:r>
        <w:rPr>
          <w:rFonts w:hint="eastAsia" w:cs="仿宋_GB2312" w:asciiTheme="majorEastAsia" w:hAnsiTheme="majorEastAsia" w:eastAsiaTheme="majorEastAsia"/>
          <w:szCs w:val="21"/>
          <w:lang w:val="en-US" w:eastAsia="zh-CN"/>
        </w:rPr>
        <w:t>五</w:t>
      </w:r>
      <w:r>
        <w:rPr>
          <w:rFonts w:hint="eastAsia" w:cs="仿宋_GB2312" w:asciiTheme="majorEastAsia" w:hAnsiTheme="majorEastAsia" w:eastAsiaTheme="majorEastAsia"/>
          <w:szCs w:val="21"/>
        </w:rPr>
        <w:t>章 根管治疗并发症与根管再治疗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1</w:t>
      </w:r>
      <w:r>
        <w:rPr>
          <w:rFonts w:hint="eastAsia" w:cs="仿宋_GB2312" w:asciiTheme="majorEastAsia" w:hAnsiTheme="majorEastAsia" w:eastAsiaTheme="majorEastAsia"/>
          <w:szCs w:val="21"/>
        </w:rPr>
        <w:t>.了解根管治疗并发症的种类，熟悉其发生的原因及处理原则，掌握预防七发生的方法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2</w:t>
      </w:r>
      <w:r>
        <w:rPr>
          <w:rFonts w:hint="eastAsia" w:cs="仿宋_GB2312" w:asciiTheme="majorEastAsia" w:hAnsiTheme="majorEastAsia" w:eastAsiaTheme="majorEastAsia"/>
          <w:szCs w:val="21"/>
        </w:rPr>
        <w:t>.了解根管治疗后疾病的病因，熟悉根管治疗后疾病的处理原则和治疗方法，掌握针管治疗后疾病的诊断以及根管再治疗的术前评估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第二十七章  病史采集和临床检查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1</w:t>
      </w:r>
      <w:r>
        <w:rPr>
          <w:rFonts w:hint="eastAsia" w:cs="仿宋_GB2312" w:asciiTheme="majorEastAsia" w:hAnsiTheme="majorEastAsia" w:eastAsiaTheme="majorEastAsia"/>
          <w:szCs w:val="21"/>
        </w:rPr>
        <w:t>.掌握病史采集的内容和询问方法；牙髓活力测试的原理和方法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2</w:t>
      </w:r>
      <w:r>
        <w:rPr>
          <w:rFonts w:hint="eastAsia" w:cs="仿宋_GB2312" w:asciiTheme="majorEastAsia" w:hAnsiTheme="majorEastAsia" w:eastAsiaTheme="majorEastAsia"/>
          <w:szCs w:val="21"/>
        </w:rPr>
        <w:t>.熟悉影像学检查方法的选择及其临床应用的局限性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cs="仿宋_GB2312" w:asciiTheme="majorEastAsia" w:hAnsiTheme="majorEastAsia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3</w:t>
      </w:r>
      <w:r>
        <w:rPr>
          <w:rFonts w:hint="eastAsia" w:cs="仿宋_GB2312" w:asciiTheme="majorEastAsia" w:hAnsiTheme="majorEastAsia" w:eastAsiaTheme="majorEastAsia"/>
          <w:szCs w:val="21"/>
        </w:rPr>
        <w:t>.了解锥形束CT和手术显微镜在牙髓病和根尖周病诊断中的应用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line="320" w:lineRule="exact"/>
        <w:ind w:left="0" w:leftChars="0" w:firstLine="480" w:firstLineChars="200"/>
        <w:textAlignment w:val="auto"/>
        <w:rPr>
          <w:rFonts w:hint="eastAsia" w:ascii="黑体" w:hAnsi="仿宋_GB2312" w:eastAsia="黑体" w:cs="仿宋_GB2312"/>
          <w:b w:val="0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color w:val="FF0000"/>
          <w:sz w:val="24"/>
        </w:rPr>
      </w:pPr>
      <w:r>
        <w:rPr>
          <w:rFonts w:eastAsia="黑体"/>
          <w:sz w:val="24"/>
        </w:rPr>
        <w:t>四、考试方式</w:t>
      </w:r>
      <w:r>
        <w:rPr>
          <w:rFonts w:hint="eastAsia" w:eastAsia="黑体"/>
          <w:sz w:val="24"/>
        </w:rPr>
        <w:t>和</w:t>
      </w:r>
      <w:r>
        <w:rPr>
          <w:rFonts w:eastAsia="黑体"/>
          <w:sz w:val="24"/>
        </w:rPr>
        <w:t>试卷结构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（一）理论课考试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szCs w:val="21"/>
        </w:rPr>
      </w:pPr>
      <w:r>
        <w:rPr>
          <w:rFonts w:hint="default" w:ascii="Times New Roman" w:hAnsi="Times New Roman" w:cs="Times New Roman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考</w:t>
      </w:r>
      <w:r>
        <w:rPr>
          <w:szCs w:val="21"/>
        </w:rPr>
        <w:t xml:space="preserve">试方式： </w:t>
      </w:r>
      <w:r>
        <w:rPr>
          <w:rFonts w:hint="eastAsia"/>
          <w:szCs w:val="21"/>
          <w:lang w:eastAsia="zh-CN"/>
        </w:rPr>
        <w:t>闭卷笔试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default" w:ascii="Times New Roman" w:hAnsi="Times New Roman" w:cs="Times New Roman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记分方式：百分制 总分为</w:t>
      </w:r>
      <w:r>
        <w:rPr>
          <w:rFonts w:hint="default" w:ascii="Times New Roman" w:hAnsi="Times New Roman" w:eastAsia="宋体" w:cs="Times New Roman"/>
          <w:szCs w:val="21"/>
        </w:rPr>
        <w:t>100</w:t>
      </w:r>
      <w:r>
        <w:rPr>
          <w:rFonts w:hint="eastAsia" w:ascii="宋体" w:hAnsi="宋体" w:eastAsia="宋体" w:cs="宋体"/>
          <w:szCs w:val="21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考试时量：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Cs w:val="21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default" w:ascii="Times New Roman" w:hAnsi="Times New Roman" w:cs="Times New Roman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Cs w:val="21"/>
        </w:rPr>
        <w:t>题量：约</w:t>
      </w:r>
      <w:r>
        <w:rPr>
          <w:rFonts w:hint="eastAsia" w:ascii="Times New Roman" w:hAnsi="Times New Roman" w:cs="Times New Roman"/>
          <w:szCs w:val="21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~</w:t>
      </w:r>
      <w:r>
        <w:rPr>
          <w:rFonts w:hint="eastAsia" w:ascii="Times New Roman" w:hAnsi="Times New Roman" w:cs="Times New Roman"/>
          <w:szCs w:val="21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Cs w:val="21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480" w:firstLineChars="200"/>
        <w:textAlignment w:val="auto"/>
        <w:rPr>
          <w:rFonts w:hint="eastAsia" w:ascii="黑体" w:hAnsi="仿宋_GB2312" w:eastAsia="黑体" w:cs="仿宋_GB2312"/>
          <w:b w:val="0"/>
          <w:bCs/>
          <w:color w:val="000000"/>
          <w:sz w:val="24"/>
        </w:rPr>
      </w:pPr>
      <w:r>
        <w:rPr>
          <w:rFonts w:hint="eastAsia" w:ascii="黑体" w:hAnsi="仿宋_GB2312" w:eastAsia="黑体" w:cs="仿宋_GB2312"/>
          <w:b w:val="0"/>
          <w:bCs/>
          <w:color w:val="000000"/>
          <w:sz w:val="24"/>
          <w:lang w:val="en-US" w:eastAsia="zh-CN"/>
        </w:rPr>
        <w:t>五、</w:t>
      </w:r>
      <w:r>
        <w:rPr>
          <w:rFonts w:hint="eastAsia" w:ascii="黑体" w:hAnsi="仿宋_GB2312" w:eastAsia="黑体" w:cs="仿宋_GB2312"/>
          <w:b w:val="0"/>
          <w:bCs/>
          <w:color w:val="000000"/>
          <w:sz w:val="24"/>
        </w:rPr>
        <w:t>教材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Hans"/>
        </w:rPr>
        <w:t>周学东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 xml:space="preserve"> 《牙体牙髓病学》（第5版） 人民卫生出版社，</w:t>
      </w:r>
      <w:r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20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U1MzY1OTY5Y2ZiOWExOWJkMzVlMTA1YzAyM2EifQ=="/>
  </w:docVars>
  <w:rsids>
    <w:rsidRoot w:val="07130F97"/>
    <w:rsid w:val="000C7F21"/>
    <w:rsid w:val="001205DB"/>
    <w:rsid w:val="003E2DFB"/>
    <w:rsid w:val="0040129C"/>
    <w:rsid w:val="00611F64"/>
    <w:rsid w:val="00827F2C"/>
    <w:rsid w:val="00BE159A"/>
    <w:rsid w:val="00C20275"/>
    <w:rsid w:val="00D15AB4"/>
    <w:rsid w:val="036A251D"/>
    <w:rsid w:val="047B3B7E"/>
    <w:rsid w:val="067B6906"/>
    <w:rsid w:val="07130F97"/>
    <w:rsid w:val="092A3FCE"/>
    <w:rsid w:val="0FDC24FF"/>
    <w:rsid w:val="12FB25B8"/>
    <w:rsid w:val="167F18A4"/>
    <w:rsid w:val="1AE25410"/>
    <w:rsid w:val="1C230D94"/>
    <w:rsid w:val="1CA304B4"/>
    <w:rsid w:val="1CDA362F"/>
    <w:rsid w:val="278C3C7A"/>
    <w:rsid w:val="279064BF"/>
    <w:rsid w:val="2A9A425E"/>
    <w:rsid w:val="2F0E4D2B"/>
    <w:rsid w:val="32726992"/>
    <w:rsid w:val="3402350A"/>
    <w:rsid w:val="36F32E3C"/>
    <w:rsid w:val="374B2187"/>
    <w:rsid w:val="3949152D"/>
    <w:rsid w:val="3AAE07C4"/>
    <w:rsid w:val="3B8E335B"/>
    <w:rsid w:val="3C081FC3"/>
    <w:rsid w:val="42D54D1B"/>
    <w:rsid w:val="459B537E"/>
    <w:rsid w:val="47676B51"/>
    <w:rsid w:val="49CF401F"/>
    <w:rsid w:val="4A691957"/>
    <w:rsid w:val="4F036213"/>
    <w:rsid w:val="584E2565"/>
    <w:rsid w:val="59CE04AA"/>
    <w:rsid w:val="5C941D69"/>
    <w:rsid w:val="5CCC265C"/>
    <w:rsid w:val="5D9530A1"/>
    <w:rsid w:val="5EB3291B"/>
    <w:rsid w:val="60620851"/>
    <w:rsid w:val="639C0F29"/>
    <w:rsid w:val="6917473B"/>
    <w:rsid w:val="6AE930B1"/>
    <w:rsid w:val="6C6C35F4"/>
    <w:rsid w:val="6CC851A3"/>
    <w:rsid w:val="6CDE3402"/>
    <w:rsid w:val="6D535020"/>
    <w:rsid w:val="6EA91DA2"/>
    <w:rsid w:val="794904E5"/>
    <w:rsid w:val="7A0E0904"/>
    <w:rsid w:val="7A531587"/>
    <w:rsid w:val="7E573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邵东卓越科技</Company>
  <Pages>4</Pages>
  <Words>2680</Words>
  <Characters>2796</Characters>
  <Lines>28</Lines>
  <Paragraphs>8</Paragraphs>
  <TotalTime>0</TotalTime>
  <ScaleCrop>false</ScaleCrop>
  <LinksUpToDate>false</LinksUpToDate>
  <CharactersWithSpaces>2852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2018-12-06T15:21:00Z</dcterms:created>
  <dc:creator>01</dc:creator>
  <cp:lastModifiedBy>蓑笠翁1419997485</cp:lastModifiedBy>
  <cp:lastPrinted>2019-09-27T04:20:00Z</cp:lastPrinted>
  <dcterms:modified xsi:type="dcterms:W3CDTF">2023-03-21T00:53:32Z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D2DBD72E2F3244089FFDA001C3C810A6</vt:lpwstr>
  </property>
</Properties>
</file>